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STUDENT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GENERAL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March 29,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Preliminary Items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Approval of minutes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Changes to the Agenda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Gallery Introductions/Business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Membership Appointments/Resignations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Oath of Office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Auxiliary Reports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Speaker of the Student Senate:  I will be doing grade checks and signature checks on your packets.  Presidents will be getting more campaign badges than senators.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Student Representative to the Board of Governors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Faculty Advisor:  If you handed out prizes, give me the sheets in which people signed to claim their prizes no later than Friday.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Staff Advisor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Academic Affairs Chair:  We received RSVPs from everyone on Student Government for our banquet; thank you.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External Affairs Chair:  Attendance resolution may be on the agenda next week.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Environmental Affairs Chair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Student Affairs Chair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Diversity Chair:  Still paying attention to the bill, but it really hasn’t done much yet.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Grants and Sponsorships Chair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Purple Friday Chair:  This Friday is Spike’s birthday and Truman Spirit Day, and I wanted to order lemonade and cookies and use no more than $400.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Money motion for Spike’s Birthday passed.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Communications Director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Webmaster/Tech Director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Executive Reports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Secretary:  The Sexual Assault Committee will be having tables in the Sub 10AM-4PM on Wednesday and Thursday.  Please sign up for a table.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Vice President of the Student Association:  In our resolutions, we are not allowed to say Truman State or TSU.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President of the Student Association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Other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Discussion Items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b w:val="1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Changes to the Operating Procedures for the Athletic Fee Accountability Committee (Turner)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To raise the current athletic fee (Turner)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First Read: “A Resolution in Recognition, Support and Celebration of 100 Years with the Bulldog as the Campus’ Mascot” (Turner)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 Resolution to Establish a Semi-Annual Battery Recycling Program (Hornsey)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First Read: “Proposed Slate from the Athletic Committee” (Schmelzer)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Old Business            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Announcements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